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54A52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</w:t>
      </w:r>
      <w:r w:rsidR="001B3F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15AA4">
        <w:rPr>
          <w:rFonts w:ascii="Times New Roman" w:hAnsi="Times New Roman" w:cs="Times New Roman"/>
          <w:b/>
          <w:sz w:val="28"/>
          <w:szCs w:val="28"/>
        </w:rPr>
        <w:t>7/40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>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554A52">
        <w:rPr>
          <w:rFonts w:ascii="Times New Roman" w:hAnsi="Times New Roman" w:cs="Times New Roman"/>
          <w:sz w:val="28"/>
          <w:szCs w:val="28"/>
        </w:rPr>
        <w:t>19. 01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554A52">
        <w:rPr>
          <w:rFonts w:ascii="Times New Roman" w:hAnsi="Times New Roman" w:cs="Times New Roman"/>
          <w:sz w:val="28"/>
          <w:szCs w:val="28"/>
        </w:rPr>
        <w:t>88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 депутатов </w:t>
      </w:r>
      <w:proofErr w:type="gramEnd"/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1B3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065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9E235D" w:rsidRP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  <w:r w:rsidRPr="009E235D">
        <w:rPr>
          <w:rFonts w:ascii="Times New Roman" w:hAnsi="Times New Roman" w:cs="Times New Roman"/>
        </w:rPr>
        <w:t>Принято поселков</w:t>
      </w:r>
      <w:r w:rsidR="000873E3">
        <w:rPr>
          <w:rFonts w:ascii="Times New Roman" w:hAnsi="Times New Roman" w:cs="Times New Roman"/>
        </w:rPr>
        <w:t>ым Советом народных депутатов 06.22.2023</w:t>
      </w:r>
      <w:r w:rsidRPr="009E235D">
        <w:rPr>
          <w:rFonts w:ascii="Times New Roman" w:hAnsi="Times New Roman" w:cs="Times New Roman"/>
        </w:rPr>
        <w:t xml:space="preserve"> г.</w:t>
      </w: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</w:p>
    <w:p w:rsidR="000873E3" w:rsidRPr="00740488" w:rsidRDefault="000873E3" w:rsidP="000873E3">
      <w:pPr>
        <w:spacing w:after="0"/>
        <w:jc w:val="right"/>
        <w:rPr>
          <w:rFonts w:ascii="Times New Roman" w:hAnsi="Times New Roman" w:cs="Times New Roman"/>
        </w:rPr>
      </w:pPr>
    </w:p>
    <w:p w:rsidR="000873E3" w:rsidRPr="00A97B05" w:rsidRDefault="000873E3" w:rsidP="000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73E3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 xml:space="preserve">имущества, безвозмездно передаваемого из муниципальной собственности </w:t>
      </w:r>
      <w:proofErr w:type="spellStart"/>
      <w:r w:rsidRPr="00A97B05">
        <w:rPr>
          <w:rFonts w:ascii="Times New Roman" w:hAnsi="Times New Roman" w:cs="Times New Roman"/>
          <w:b/>
          <w:sz w:val="24"/>
          <w:szCs w:val="24"/>
        </w:rPr>
        <w:t>Магдагачинского</w:t>
      </w:r>
      <w:proofErr w:type="spellEnd"/>
      <w:r w:rsidRPr="00A97B05">
        <w:rPr>
          <w:rFonts w:ascii="Times New Roman" w:hAnsi="Times New Roman" w:cs="Times New Roman"/>
          <w:b/>
          <w:sz w:val="24"/>
          <w:szCs w:val="24"/>
        </w:rPr>
        <w:t xml:space="preserve"> района, в муниципальную собственность рабочего поселка</w:t>
      </w:r>
    </w:p>
    <w:p w:rsidR="000873E3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97B0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97B05">
        <w:rPr>
          <w:rFonts w:ascii="Times New Roman" w:hAnsi="Times New Roman" w:cs="Times New Roman"/>
          <w:b/>
          <w:sz w:val="24"/>
          <w:szCs w:val="24"/>
        </w:rPr>
        <w:t>) Магдагачи</w:t>
      </w:r>
    </w:p>
    <w:p w:rsidR="000873E3" w:rsidRPr="00BC1B32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22"/>
        <w:gridCol w:w="2477"/>
        <w:gridCol w:w="3063"/>
        <w:gridCol w:w="1559"/>
        <w:gridCol w:w="1843"/>
      </w:tblGrid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П1300133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Жилое помещение (квартира)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>. Магдагачи, пер. Переездный,  д. 4, кв. 54, кадастровый номер 28:16:015520:166, общая площадь 38,9 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2 084 096,81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П1300134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Жилое помещение (квартира)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>. Магдагачи, ул. Вокзальная, д. 6, кв. 19, кадастровый номер 28:16:015524:73, общая площадь 29,6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1 803 779,70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П1300135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Жилое помещение (квартира)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>. Магдагачи, ул. Ленина, д. 39, кв. 52, кадастровый номер 28:16:015246:35, общей площадью 33,3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1 828 155,10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П1300136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B32">
              <w:rPr>
                <w:rFonts w:ascii="Times New Roman" w:hAnsi="Times New Roman"/>
                <w:sz w:val="24"/>
                <w:szCs w:val="24"/>
              </w:rPr>
              <w:t>Жилое помещение (квартира) г. Белогорск, ул. Транспортная, д. 48, кв. 3, кадастровый номер 28:02:000503:456, общей площадью 45,0 кв.м.</w:t>
            </w:r>
            <w:proofErr w:type="gramEnd"/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3 752 639,62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П1300137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Жилое помещение (квартира)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>. Магдагачи, ул. Ленина 50А кв.1 кадастровый номер 28:16:015202:173, общей площадью 42,0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1 889 087,62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П1100241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эксплуатации жилого дома)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>. Магдагачи, ул. Ленина 50А кв.1, кадастровый номер 28:16:015202:30, общей площадью 362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</w:t>
            </w:r>
          </w:p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1 800 588,00</w:t>
            </w:r>
          </w:p>
        </w:tc>
      </w:tr>
    </w:tbl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873E3"/>
    <w:rsid w:val="001421CD"/>
    <w:rsid w:val="00192742"/>
    <w:rsid w:val="001B3FCE"/>
    <w:rsid w:val="002B4B40"/>
    <w:rsid w:val="002C18E9"/>
    <w:rsid w:val="002F68CF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5A7A57"/>
    <w:rsid w:val="006809BD"/>
    <w:rsid w:val="00743E25"/>
    <w:rsid w:val="007457B5"/>
    <w:rsid w:val="007D2671"/>
    <w:rsid w:val="00863BD9"/>
    <w:rsid w:val="00885810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84AAB"/>
    <w:rsid w:val="00CB21CE"/>
    <w:rsid w:val="00D07E05"/>
    <w:rsid w:val="00D16B98"/>
    <w:rsid w:val="00D55AC2"/>
    <w:rsid w:val="00D57567"/>
    <w:rsid w:val="00D92258"/>
    <w:rsid w:val="00EA4358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2023-02-01T01:30:00Z</cp:lastPrinted>
  <dcterms:created xsi:type="dcterms:W3CDTF">2022-10-24T02:22:00Z</dcterms:created>
  <dcterms:modified xsi:type="dcterms:W3CDTF">2023-02-07T01:13:00Z</dcterms:modified>
</cp:coreProperties>
</file>