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F8" w:rsidRPr="004B3EF8" w:rsidRDefault="004B3EF8" w:rsidP="004B3EF8">
      <w:pPr>
        <w:pStyle w:val="a3"/>
        <w:shd w:val="clear" w:color="auto" w:fill="FFFFFF"/>
        <w:spacing w:before="0" w:beforeAutospacing="0" w:after="75" w:afterAutospacing="0" w:line="285" w:lineRule="atLeast"/>
        <w:rPr>
          <w:rFonts w:ascii="Arial" w:hAnsi="Arial" w:cs="Arial"/>
          <w:b/>
          <w:color w:val="000000"/>
          <w:sz w:val="20"/>
          <w:szCs w:val="20"/>
        </w:rPr>
      </w:pPr>
      <w:r w:rsidRPr="004B3EF8">
        <w:rPr>
          <w:rFonts w:ascii="Arial" w:hAnsi="Arial" w:cs="Arial"/>
          <w:b/>
          <w:color w:val="000000"/>
          <w:sz w:val="20"/>
          <w:szCs w:val="20"/>
        </w:rPr>
        <w:t>Ограничения, связанные с муниципальной службой</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Гражданин не может быть принят на муниципальную службу, а муниципальный служащий не может находиться на муниципальной службе в случае:</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1) признания его недееспособным или ограниченно дееспособным решением суда, вступившим в законную силу;</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proofErr w:type="gramStart"/>
      <w:r>
        <w:rPr>
          <w:rFonts w:ascii="Arial" w:hAnsi="Arial" w:cs="Arial"/>
          <w:color w:val="000000"/>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Pr>
          <w:rFonts w:ascii="Arial" w:hAnsi="Arial" w:cs="Arial"/>
          <w:color w:val="000000"/>
          <w:sz w:val="20"/>
          <w:szCs w:val="20"/>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proofErr w:type="gramStart"/>
      <w:r>
        <w:rPr>
          <w:rFonts w:ascii="Arial" w:hAnsi="Arial" w:cs="Arial"/>
          <w:color w:val="000000"/>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color w:val="000000"/>
          <w:sz w:val="20"/>
          <w:szCs w:val="20"/>
        </w:rPr>
        <w:t xml:space="preserve"> </w:t>
      </w:r>
      <w:proofErr w:type="gramStart"/>
      <w:r>
        <w:rPr>
          <w:rFonts w:ascii="Arial" w:hAnsi="Arial" w:cs="Arial"/>
          <w:color w:val="000000"/>
          <w:sz w:val="20"/>
          <w:szCs w:val="20"/>
        </w:rPr>
        <w:t>соответствии</w:t>
      </w:r>
      <w:proofErr w:type="gramEnd"/>
      <w:r>
        <w:rPr>
          <w:rFonts w:ascii="Arial" w:hAnsi="Arial" w:cs="Arial"/>
          <w:color w:val="000000"/>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8) представления подложных документов или заведомо ложных сведений при поступлении на муниципальную службу;</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9) непредставления установленных Федеральным законом от 02 марта 2007 г. №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Гражданин не может быть принят на муниципальную службу после достижения им 65-лет предельного возраста, установленного для замещения должности муниципальной служб.</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 </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Style w:val="a5"/>
          <w:rFonts w:ascii="Arial" w:hAnsi="Arial" w:cs="Arial"/>
          <w:color w:val="000000"/>
          <w:sz w:val="20"/>
          <w:szCs w:val="20"/>
        </w:rPr>
        <w:t>Запреты, связанные с муниципальной службой</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В связи с прохождением муниципальной службы муниципальному служащему запрещается:</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2) замещать должность муниципальной службы в случае:</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а) избрания или назначения на государственную должность Российской Федерации либо на государственную должность области, а также в случае назначения на должность государственной службы;</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б) избрания или назначения на муниципальную должность;</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области;</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3) заниматься предпринимательской деятельностью;</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4) быть поверенным или представителем по делам третьих лиц в органе местного самоуправления области, избирательной комиссии муниципального образования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области, в которых он замещает должность муниципальной службы, за исключением случаев, установленных Гражданским кодексом Российской Федерации;</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proofErr w:type="gramStart"/>
      <w:r>
        <w:rPr>
          <w:rFonts w:ascii="Arial" w:hAnsi="Arial" w:cs="Arial"/>
          <w:color w:val="000000"/>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области с органами местного самоуправления, избирательными комиссиями других муниципальных образований области,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области и их руководителей, если это не входит в его должностные обязанности;</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10) 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государств, международных организаций;</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14) прекращать исполнение должностных обязанностей в целях урегулирования трудового спора;</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 </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2. Муниципальный служащий обязан соблюдать иные запреты, предусмотренные законодательством Российской Федерации.</w:t>
      </w:r>
    </w:p>
    <w:p w:rsidR="004B3EF8" w:rsidRDefault="004B3EF8" w:rsidP="004B3EF8">
      <w:pPr>
        <w:pStyle w:val="a3"/>
        <w:shd w:val="clear" w:color="auto" w:fill="FFFFFF"/>
        <w:spacing w:before="0" w:beforeAutospacing="0" w:after="75" w:afterAutospacing="0" w:line="285" w:lineRule="atLeast"/>
        <w:rPr>
          <w:rFonts w:ascii="Arial" w:hAnsi="Arial" w:cs="Arial"/>
          <w:color w:val="000000"/>
          <w:sz w:val="20"/>
          <w:szCs w:val="20"/>
        </w:rPr>
      </w:pPr>
      <w:r>
        <w:rPr>
          <w:rFonts w:ascii="Arial" w:hAnsi="Arial" w:cs="Arial"/>
          <w:color w:val="000000"/>
          <w:sz w:val="20"/>
          <w:szCs w:val="20"/>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10F6F" w:rsidRPr="004B3EF8" w:rsidRDefault="00810F6F" w:rsidP="004B3EF8"/>
    <w:sectPr w:rsidR="00810F6F" w:rsidRPr="004B3EF8" w:rsidSect="00810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3"/>
    <w:rsid w:val="004B3EF8"/>
    <w:rsid w:val="00810F6F"/>
    <w:rsid w:val="00B43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43763"/>
    <w:rPr>
      <w:i/>
      <w:iCs/>
    </w:rPr>
  </w:style>
  <w:style w:type="character" w:styleId="a5">
    <w:name w:val="Strong"/>
    <w:basedOn w:val="a0"/>
    <w:uiPriority w:val="22"/>
    <w:qFormat/>
    <w:rsid w:val="004B3EF8"/>
    <w:rPr>
      <w:b/>
      <w:bCs/>
    </w:rPr>
  </w:style>
</w:styles>
</file>

<file path=word/webSettings.xml><?xml version="1.0" encoding="utf-8"?>
<w:webSettings xmlns:r="http://schemas.openxmlformats.org/officeDocument/2006/relationships" xmlns:w="http://schemas.openxmlformats.org/wordprocessingml/2006/main">
  <w:divs>
    <w:div w:id="1091511368">
      <w:bodyDiv w:val="1"/>
      <w:marLeft w:val="0"/>
      <w:marRight w:val="0"/>
      <w:marTop w:val="0"/>
      <w:marBottom w:val="0"/>
      <w:divBdr>
        <w:top w:val="none" w:sz="0" w:space="0" w:color="auto"/>
        <w:left w:val="none" w:sz="0" w:space="0" w:color="auto"/>
        <w:bottom w:val="none" w:sz="0" w:space="0" w:color="auto"/>
        <w:right w:val="none" w:sz="0" w:space="0" w:color="auto"/>
      </w:divBdr>
    </w:div>
    <w:div w:id="20900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7113</Characters>
  <Application>Microsoft Office Word</Application>
  <DocSecurity>0</DocSecurity>
  <Lines>59</Lines>
  <Paragraphs>16</Paragraphs>
  <ScaleCrop>false</ScaleCrop>
  <Company>Microsoft</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dcterms:created xsi:type="dcterms:W3CDTF">2019-09-03T07:37:00Z</dcterms:created>
  <dcterms:modified xsi:type="dcterms:W3CDTF">2019-09-03T07:37:00Z</dcterms:modified>
</cp:coreProperties>
</file>