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5F" w:rsidRPr="00483DA7" w:rsidRDefault="00DE5C5F" w:rsidP="00DE5C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83DA7">
        <w:rPr>
          <w:rFonts w:ascii="Times New Roman" w:eastAsiaTheme="minorEastAsia" w:hAnsi="Times New Roman"/>
          <w:b/>
          <w:sz w:val="24"/>
          <w:szCs w:val="24"/>
          <w:lang w:eastAsia="ru-RU"/>
        </w:rPr>
        <w:t>РОССИЙСКАЯ ФЕДЕРАЦИЯ</w:t>
      </w:r>
    </w:p>
    <w:p w:rsidR="00DE5C5F" w:rsidRPr="00483DA7" w:rsidRDefault="00DE5C5F" w:rsidP="00DE5C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83DA7">
        <w:rPr>
          <w:rFonts w:ascii="Times New Roman" w:eastAsiaTheme="minorEastAsia" w:hAnsi="Times New Roman"/>
          <w:b/>
          <w:sz w:val="24"/>
          <w:szCs w:val="24"/>
          <w:lang w:eastAsia="ru-RU"/>
        </w:rPr>
        <w:t>АМУРСКАЯ ОБЛАСТЬ</w:t>
      </w:r>
    </w:p>
    <w:p w:rsidR="00DE5C5F" w:rsidRPr="00483DA7" w:rsidRDefault="00DE5C5F" w:rsidP="00DE5C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E5C5F" w:rsidRPr="00483DA7" w:rsidRDefault="00D37672" w:rsidP="00DE5C5F">
      <w:pPr>
        <w:spacing w:after="0" w:line="240" w:lineRule="auto"/>
        <w:ind w:hanging="18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МАГДАГАЧИНСКИЙ ПОСЕЛКОВЫЙ</w:t>
      </w:r>
      <w:r w:rsidR="00DE5C5F" w:rsidRPr="00483DA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СОВЕТ НАРОДНЫХ  ДЕПУТАТОВ</w:t>
      </w:r>
    </w:p>
    <w:p w:rsidR="00DE5C5F" w:rsidRPr="00483DA7" w:rsidRDefault="00D37672" w:rsidP="00DE5C5F">
      <w:pPr>
        <w:spacing w:after="0" w:line="240" w:lineRule="auto"/>
        <w:ind w:hanging="18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(седьмой</w:t>
      </w:r>
      <w:r w:rsidR="00DE5C5F" w:rsidRPr="00483DA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созыв)</w:t>
      </w:r>
    </w:p>
    <w:p w:rsidR="00DE5C5F" w:rsidRPr="00483DA7" w:rsidRDefault="00DE5C5F" w:rsidP="00DE5C5F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E5C5F" w:rsidRPr="00483DA7" w:rsidRDefault="00DE5C5F" w:rsidP="00DE5C5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83DA7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DE5C5F" w:rsidRPr="00483DA7" w:rsidRDefault="00DE5C5F" w:rsidP="00DE5C5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E5C5F" w:rsidRDefault="00D37672" w:rsidP="00DE5C5F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11.02.2021</w:t>
      </w:r>
      <w:r w:rsidRPr="00D3767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№55/</w:t>
      </w:r>
      <w:r w:rsidR="003537EC">
        <w:rPr>
          <w:rFonts w:ascii="Times New Roman" w:eastAsiaTheme="minorEastAsia" w:hAnsi="Times New Roman"/>
          <w:b/>
          <w:sz w:val="28"/>
          <w:szCs w:val="28"/>
          <w:lang w:eastAsia="ru-RU"/>
        </w:rPr>
        <w:t>228</w:t>
      </w:r>
    </w:p>
    <w:p w:rsidR="00D37672" w:rsidRPr="00D37672" w:rsidRDefault="00D37672" w:rsidP="00DE5C5F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E5C5F" w:rsidRPr="00483DA7" w:rsidRDefault="00DE5C5F" w:rsidP="00DE5C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83DA7">
        <w:rPr>
          <w:rFonts w:ascii="Times New Roman" w:eastAsiaTheme="minorEastAsia" w:hAnsi="Times New Roman"/>
          <w:b/>
          <w:sz w:val="24"/>
          <w:szCs w:val="24"/>
          <w:lang w:eastAsia="ru-RU"/>
        </w:rPr>
        <w:t>п. Магдагачи</w:t>
      </w:r>
    </w:p>
    <w:p w:rsidR="00DE5C5F" w:rsidRDefault="00DE5C5F" w:rsidP="00DE5C5F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</w:rPr>
      </w:pPr>
    </w:p>
    <w:p w:rsidR="00DE5C5F" w:rsidRDefault="00DE5C5F" w:rsidP="00DE5C5F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</w:rPr>
      </w:pPr>
    </w:p>
    <w:p w:rsidR="00DE5C5F" w:rsidRDefault="00DE5C5F" w:rsidP="00D37672">
      <w:pPr>
        <w:tabs>
          <w:tab w:val="left" w:pos="5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8">
        <w:rPr>
          <w:rFonts w:ascii="Times New Roman" w:hAnsi="Times New Roman" w:cs="Times New Roman"/>
          <w:b/>
          <w:sz w:val="28"/>
          <w:szCs w:val="28"/>
        </w:rPr>
        <w:t>О внесении дополнений в Рег</w:t>
      </w:r>
      <w:r w:rsidR="00D37672">
        <w:rPr>
          <w:rFonts w:ascii="Times New Roman" w:hAnsi="Times New Roman" w:cs="Times New Roman"/>
          <w:b/>
          <w:sz w:val="28"/>
          <w:szCs w:val="28"/>
        </w:rPr>
        <w:t xml:space="preserve">ламент </w:t>
      </w:r>
      <w:proofErr w:type="spellStart"/>
      <w:r w:rsidR="00D37672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D37672">
        <w:rPr>
          <w:rFonts w:ascii="Times New Roman" w:hAnsi="Times New Roman" w:cs="Times New Roman"/>
          <w:b/>
          <w:sz w:val="28"/>
          <w:szCs w:val="28"/>
        </w:rPr>
        <w:t xml:space="preserve"> поселкового</w:t>
      </w:r>
      <w:r w:rsidRPr="00B713A8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</w:t>
      </w:r>
    </w:p>
    <w:p w:rsidR="00DE5C5F" w:rsidRDefault="00DE5C5F" w:rsidP="00DE5C5F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C5F" w:rsidRDefault="00DE5C5F" w:rsidP="00DE5C5F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C5F" w:rsidRDefault="00DE5C5F" w:rsidP="00DE5C5F">
      <w:pPr>
        <w:tabs>
          <w:tab w:val="left" w:pos="5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8">
        <w:rPr>
          <w:rFonts w:ascii="Times New Roman" w:hAnsi="Times New Roman" w:cs="Times New Roman"/>
          <w:sz w:val="28"/>
          <w:szCs w:val="28"/>
        </w:rPr>
        <w:t xml:space="preserve">        1.Внести в Рег</w:t>
      </w:r>
      <w:r w:rsidR="00D37672">
        <w:rPr>
          <w:rFonts w:ascii="Times New Roman" w:hAnsi="Times New Roman" w:cs="Times New Roman"/>
          <w:sz w:val="28"/>
          <w:szCs w:val="28"/>
        </w:rPr>
        <w:t xml:space="preserve">ламент </w:t>
      </w:r>
      <w:proofErr w:type="spellStart"/>
      <w:r w:rsidR="00D3767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D37672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B713A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 утверж</w:t>
      </w:r>
      <w:r w:rsidR="00D37672">
        <w:rPr>
          <w:rFonts w:ascii="Times New Roman" w:hAnsi="Times New Roman" w:cs="Times New Roman"/>
          <w:sz w:val="28"/>
          <w:szCs w:val="28"/>
        </w:rPr>
        <w:t>денного постановлением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425234" w:rsidRPr="00356C84">
        <w:rPr>
          <w:rFonts w:ascii="Times New Roman" w:hAnsi="Times New Roman" w:cs="Times New Roman"/>
          <w:sz w:val="28"/>
          <w:szCs w:val="28"/>
        </w:rPr>
        <w:t>30.01.2013 года №4/19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 дополнения:</w:t>
      </w:r>
    </w:p>
    <w:p w:rsidR="00DE5C5F" w:rsidRPr="006A46C2" w:rsidRDefault="0012359A" w:rsidP="00DE5C5F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BF0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D37672" w:rsidRPr="006A46C2">
        <w:rPr>
          <w:rFonts w:ascii="Times New Roman" w:eastAsia="Calibri" w:hAnsi="Times New Roman" w:cs="Times New Roman"/>
          <w:b/>
          <w:sz w:val="28"/>
          <w:szCs w:val="28"/>
        </w:rPr>
        <w:t>1.1. статью 24</w:t>
      </w:r>
      <w:r w:rsidR="00DE5C5F" w:rsidRPr="006A46C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E5C5F" w:rsidRPr="006A4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формы работы постоянных комиссий» дополнить пунктом </w:t>
      </w:r>
      <w:r w:rsidR="00D37672" w:rsidRPr="006A4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E5C5F" w:rsidRPr="006A4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содержания:</w:t>
      </w:r>
    </w:p>
    <w:p w:rsidR="00DE5C5F" w:rsidRPr="00FE7FC5" w:rsidRDefault="00DE5C5F" w:rsidP="00D14A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«п.</w:t>
      </w:r>
      <w:r w:rsidR="00D37672" w:rsidRPr="00FE7F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proofErr w:type="gramStart"/>
      <w:r w:rsidR="00D37672" w:rsidRPr="00FE7F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случае введения на территории</w:t>
      </w:r>
      <w:r w:rsidR="00D37672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356C84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рабочего посёлка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56C84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(посёлок городского типа) Магдагачи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режима повышенной готовности, режима чрезвычайной ситуации или ограничительных мероприятий (карантина) заседание постоянной комиссии  по решению его председателя может проводиться с использованием средств программного обеспечения, позволяющих взаимодействовать посредством обмена аудио- и видеоданными в режиме реального времени (далее - режим удаленного доступа).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 постоянной комиссии, принимающий участие в заседании постоянной комиссии  в режиме удаленного доступа, считается присутствующим на заседании постоянной комиссии»;</w:t>
      </w:r>
    </w:p>
    <w:p w:rsidR="00DE5C5F" w:rsidRPr="006A46C2" w:rsidRDefault="00F31BF0" w:rsidP="00DE5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6A46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="00DE5C5F" w:rsidRPr="006A46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1.2. пункт 2 с</w:t>
      </w:r>
      <w:r w:rsidR="00D37672" w:rsidRPr="006A4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татьи 26</w:t>
      </w:r>
      <w:r w:rsidR="00DE5C5F" w:rsidRPr="006A4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«Порядок проведения совместных заседаний постоянных комиссий» дополнить пунктом следующего содержания: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введения на территории</w:t>
      </w:r>
      <w:r w:rsidR="00356C84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рабочего посёлка (посёлок городского типа) Магдагачи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режима повышенной готовности, режима чрезвычайной ситуации или ограничительных мероприятий (карантина) совместное заседание постоянных комиссий  по решению  председателей постоянных </w:t>
      </w:r>
      <w:r w:rsidR="00D37672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комиссий, председателя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 может проводиться с использованием средств программного обеспечения, позволяющих взаимодействовать посредством обмена аудио- и видеоданными в режиме</w:t>
      </w:r>
      <w:proofErr w:type="gramEnd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реального времени (далее - режим удаленного доступа).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 постоянной комиссии, принимающий участие в совместном заседании постоянной комиссии  в режиме удаленного доступа, считается присутствующим на совместном заседании постоянных комиссий»;</w:t>
      </w:r>
    </w:p>
    <w:p w:rsidR="00DE5C5F" w:rsidRPr="00B713A8" w:rsidRDefault="00DE5C5F" w:rsidP="00DE5C5F">
      <w:pPr>
        <w:tabs>
          <w:tab w:val="left" w:pos="5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E5C5F" w:rsidRDefault="00DE5C5F" w:rsidP="00DE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5F" w:rsidRPr="006A46C2" w:rsidRDefault="00DE5C5F" w:rsidP="00D14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Главу</w:t>
      </w:r>
      <w:r w:rsidR="00FE54F6" w:rsidRPr="006A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6A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</w:t>
      </w:r>
      <w:r w:rsidR="00FE54F6" w:rsidRPr="006A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 созыв заседаний поселкового Совета</w:t>
      </w:r>
      <w:r w:rsidRPr="006A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E54F6" w:rsidRPr="006A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статьей 35</w:t>
      </w:r>
      <w:r w:rsidRPr="006A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1. «Правила и процедура заочного голосования» </w:t>
      </w:r>
      <w:r w:rsidRPr="006A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DE5C5F" w:rsidRPr="00FE7FC5" w:rsidRDefault="006A46C2" w:rsidP="00DE5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35</w:t>
      </w:r>
      <w:r w:rsidR="00DE5C5F" w:rsidRPr="00FE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«Правила и процедура заочного голосования».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В случае введения на территории</w:t>
      </w:r>
      <w:r w:rsidR="00356C84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рабочего посёлка (посёлок городского типа) Магдагачи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режима повышенной готовности, режима чрезвычайной ситуации, ограничительных мероприятий (карантина) муниципальные нормативно-правовые  акты, муниципальные правовые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акты  </w:t>
      </w:r>
      <w:proofErr w:type="spellStart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Магдагачинского</w:t>
      </w:r>
      <w:proofErr w:type="spellEnd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 могут быть приняты путем заочного голосования.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6A46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Заочное голосование проводится по инициа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тиве председателя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 или председате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 постоянной комиссии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депутатов.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         Заключение постоянной комиссии  по вопросу проведения заочного голосования с указанием даты его проведения направля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ется председателю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депутатов, как правило, не </w:t>
      </w:r>
      <w:proofErr w:type="gramStart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два дня до предлагаемой даты проведения заочного голосования. 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указанному заключению прилагаются проект муниципального нормативно-правового  акта или проект  муниципального правового акта    и необходимые в соответствии с настоящим Регламентом документы.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6A46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Решение о проведении заочного голосования принимает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ся председателем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в форме распоряжения, в котором указывается период проведения заочного голосования.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6A46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</w:t>
      </w:r>
      <w:proofErr w:type="gramStart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Распоряжение, проект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нормативно-правового  акта или проект  муниципал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ьного правового акта  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депутатов, представленные с ними документы и лист заочного голосования, оформленный согласно пункту 4 настоящей статьи, в день подписания распоряжения размещаются на официальном сайте администрации Магдагачин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ского района в разделе представительные органы «</w:t>
      </w:r>
      <w:proofErr w:type="spellStart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Магдагачинский</w:t>
      </w:r>
      <w:proofErr w:type="spellEnd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поселковый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 народных депутатов»</w:t>
      </w:r>
      <w:r w:rsidR="00B371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сайте администрации посёлка городского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Магдагачи в разделе 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 «Решения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</w:t>
      </w:r>
      <w:proofErr w:type="gramEnd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p w:rsidR="00DE5C5F" w:rsidRPr="00FE7FC5" w:rsidRDefault="006A46C2" w:rsidP="00DE5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</w:t>
      </w:r>
      <w:r w:rsidR="00DE5C5F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проведении заочного голосования и о периоде его проведения депутаты уведомляются в день подписания распоряжения по телефону и посредством SMS-сообщения.</w:t>
      </w:r>
    </w:p>
    <w:p w:rsidR="00DE5C5F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Форма листа заочного голосования</w:t>
      </w:r>
      <w:r w:rsidRPr="003C40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DE5C5F" w:rsidRPr="00B95A03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471"/>
        <w:gridCol w:w="2750"/>
        <w:gridCol w:w="2395"/>
      </w:tblGrid>
      <w:tr w:rsidR="00DE5C5F" w:rsidRPr="00B95A03" w:rsidTr="00590CFD">
        <w:trPr>
          <w:trHeight w:val="12"/>
        </w:trPr>
        <w:tc>
          <w:tcPr>
            <w:tcW w:w="9425" w:type="dxa"/>
            <w:gridSpan w:val="4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 ЗАОЧНОГО ГОЛОСОВАНИЯ</w:t>
            </w:r>
          </w:p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r w:rsidR="00FE54F6"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56C84"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утата </w:t>
            </w:r>
            <w:proofErr w:type="spellStart"/>
            <w:r w:rsidR="00356C84"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Магдагачинского</w:t>
            </w:r>
            <w:proofErr w:type="spellEnd"/>
            <w:r w:rsidR="00356C84"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поселкового</w:t>
            </w: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Совета народных депутатов ____ созыва</w:t>
            </w:r>
          </w:p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E5C5F" w:rsidRPr="00B95A03" w:rsidTr="00590CF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"__" _____________ 20__ г.</w:t>
            </w:r>
          </w:p>
        </w:tc>
      </w:tr>
      <w:tr w:rsidR="00DE5C5F" w:rsidRPr="00B95A03" w:rsidTr="00590CFD">
        <w:trPr>
          <w:trHeight w:val="12"/>
        </w:trPr>
        <w:tc>
          <w:tcPr>
            <w:tcW w:w="739" w:type="dxa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проекта НПА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Вопрос, поставленный </w:t>
            </w: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голосование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Выражение мнения </w:t>
            </w: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("за", "против", "воздержался")</w:t>
            </w:r>
          </w:p>
        </w:tc>
      </w:tr>
      <w:tr w:rsidR="00DE5C5F" w:rsidRPr="00B95A03" w:rsidTr="00590C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rPr>
          <w:trHeight w:val="6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rPr>
          <w:trHeight w:val="24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5C5F" w:rsidRPr="00B95A03" w:rsidRDefault="00DE5C5F" w:rsidP="00DE5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2"/>
        <w:gridCol w:w="369"/>
        <w:gridCol w:w="7144"/>
      </w:tblGrid>
      <w:tr w:rsidR="00DE5C5F" w:rsidRPr="00B95A03" w:rsidTr="00590CFD">
        <w:trPr>
          <w:trHeight w:val="12"/>
        </w:trPr>
        <w:tc>
          <w:tcPr>
            <w:tcW w:w="1848" w:type="dxa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(прописью)</w:t>
            </w:r>
          </w:p>
        </w:tc>
      </w:tr>
      <w:tr w:rsidR="00DE5C5F" w:rsidRPr="00B95A03" w:rsidTr="00590CF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C5F" w:rsidRPr="00B95A03" w:rsidTr="00590CF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5C5F" w:rsidRPr="00B95A03" w:rsidRDefault="00DE5C5F" w:rsidP="00590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 депутата)</w:t>
            </w:r>
          </w:p>
        </w:tc>
      </w:tr>
    </w:tbl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В установленный распоряжением период проведения заочного голосования депут</w:t>
      </w:r>
      <w:r w:rsidR="0083032E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ат представляет в поселковый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 народных депутатов  лист заочного голосования с выражением своего мнения по проекту муниципального нормативно-правового  акта или проекта  муниципального правового акта   в форме: "за", "против", "воздержался".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Лист заочного голосования может 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быть представлен председателю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лично депутатом на бумажном носителе, посредством почтовой или факсимильной связи,  либо электронной почтой 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r w:rsidR="00FE7FC5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 электронный адрес п</w:t>
      </w:r>
      <w:r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</w:t>
      </w:r>
      <w:r w:rsidR="0083032E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селкового</w:t>
      </w:r>
      <w:r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</w:t>
      </w:r>
      <w:r w:rsidR="0083032E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83032E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  <w:t>possovetmag</w:t>
      </w:r>
      <w:proofErr w:type="spellEnd"/>
      <w:r w:rsidR="0083032E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@</w:t>
      </w:r>
      <w:r w:rsidR="0083032E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  <w:t>mail</w:t>
      </w:r>
      <w:r w:rsidR="0083032E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  <w:proofErr w:type="spellStart"/>
      <w:r w:rsidR="0083032E"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  <w:t>ru</w:t>
      </w:r>
      <w:proofErr w:type="spellEnd"/>
      <w:proofErr w:type="gramStart"/>
      <w:r w:rsidRPr="00FE7FC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E54F6" w:rsidRPr="00FE7FC5">
        <w:rPr>
          <w:b/>
          <w:color w:val="000000" w:themeColor="text1"/>
        </w:rPr>
        <w:t>)</w:t>
      </w:r>
      <w:proofErr w:type="gramEnd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форме его электронного образа (переведенный в электронный вид с помощью средств сканирования).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Лист заочного голосования подлежит регистрации в </w:t>
      </w:r>
      <w:proofErr w:type="gramStart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поселковом</w:t>
      </w:r>
      <w:proofErr w:type="gramEnd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не позднее окончания периода проведения заочного голосования.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Депутат считается проголосовавшим, если от него в установленный распоряжением период проведения заочного голосования получен лист заочного голосования любым из перечисленных в настоящей части способом с выражением своего мнения по проекту муниципального нормативно-правового  акта или проекта  муниципального правового акта  в одной из форм.</w:t>
      </w:r>
      <w:proofErr w:type="gramEnd"/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Листы заочного голосования по окончании периода заочного голосования, но не позднее рабочего дня, следующего за днем окончания периода заочного голосования, передаются в комиссию по подведению итогов заочного голосования (далее - комиссия).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состав комиссии вхо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дят председатель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и председате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 постоянных комиссий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депутатов. При равенстве голо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 голос председателя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 является решающим.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ее членов.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Решение комиссии принимается большинством от числа присутствующих членов комиссии.</w:t>
      </w:r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Комиссия рассматривает листы заочного голосования в течение одного рабочего дня и принимает решение об итогах заочного голосования в форме протокола. Протокол подписы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вает председатель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депутатов. Листы заочного голосования приобщаются к протоколу.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Заочное голосование считается состоявшимся в случае, если в нем приняло 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участие более 50 процентов от установленной числ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енности депутатов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депутатов.</w:t>
      </w:r>
    </w:p>
    <w:p w:rsidR="00DE5C5F" w:rsidRPr="00FE7FC5" w:rsidRDefault="00DE5C5F" w:rsidP="00DE5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считается принятым, если за него проголосовало более половины от установленной численности 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депутатов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 (простое большинство голосов), за исключением случаев, установленных  Регламентом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поселкового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народных депутатов.</w:t>
      </w:r>
      <w:proofErr w:type="gramEnd"/>
    </w:p>
    <w:p w:rsidR="00DE5C5F" w:rsidRPr="00FE7FC5" w:rsidRDefault="00DE5C5F" w:rsidP="00DE5C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 Информация о результатах заочного голосования 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размещается на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Магдагачинского</w:t>
      </w:r>
      <w:proofErr w:type="spellEnd"/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в разделе</w:t>
      </w:r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представительные органы «</w:t>
      </w:r>
      <w:proofErr w:type="spellStart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Магдагачинский</w:t>
      </w:r>
      <w:proofErr w:type="spellEnd"/>
      <w:r w:rsidR="00FE54F6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поселковый</w:t>
      </w:r>
      <w:r w:rsidR="00A33FBB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 народных депутатов»</w:t>
      </w:r>
      <w:r w:rsidR="00B371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сайте администрации посёлка городского типа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Магдагачи в разделе 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документы 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Решения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</w:t>
      </w:r>
      <w:r w:rsidR="005C6961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9D6EFA"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E7F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DE5C5F" w:rsidRPr="009D70C7" w:rsidRDefault="00DE5C5F" w:rsidP="00DE5C5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D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принятия и подлежит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официальному опубликованию </w:t>
      </w:r>
      <w:r w:rsidRPr="009D70C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официальном сайте Магдагачинского района, зарегистрированного как средство массовой информации.</w:t>
      </w:r>
    </w:p>
    <w:p w:rsidR="00FE7FC5" w:rsidRDefault="00A33FBB" w:rsidP="00DE5C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7FC5" w:rsidRDefault="00FE7FC5" w:rsidP="00DE5C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C5" w:rsidRDefault="00FE7FC5" w:rsidP="00DE5C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D7" w:rsidRDefault="00A33FBB" w:rsidP="00DE5C5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поселкового</w:t>
      </w:r>
      <w:r w:rsidR="00DE5C5F" w:rsidRPr="009D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5C5F" w:rsidRPr="009D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Осипенко</w:t>
      </w:r>
    </w:p>
    <w:sectPr w:rsidR="00202DD7" w:rsidSect="004252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A04"/>
    <w:rsid w:val="0012359A"/>
    <w:rsid w:val="00202DD7"/>
    <w:rsid w:val="00261063"/>
    <w:rsid w:val="00324907"/>
    <w:rsid w:val="003537EC"/>
    <w:rsid w:val="00356C84"/>
    <w:rsid w:val="00425234"/>
    <w:rsid w:val="005C6961"/>
    <w:rsid w:val="006A46C2"/>
    <w:rsid w:val="007D569E"/>
    <w:rsid w:val="0083032E"/>
    <w:rsid w:val="009D6EFA"/>
    <w:rsid w:val="00A33FBB"/>
    <w:rsid w:val="00A843FF"/>
    <w:rsid w:val="00B37117"/>
    <w:rsid w:val="00B73326"/>
    <w:rsid w:val="00B75DAB"/>
    <w:rsid w:val="00B95A03"/>
    <w:rsid w:val="00C13DA8"/>
    <w:rsid w:val="00CA4A04"/>
    <w:rsid w:val="00D14A61"/>
    <w:rsid w:val="00D37672"/>
    <w:rsid w:val="00D80566"/>
    <w:rsid w:val="00DE5C5F"/>
    <w:rsid w:val="00F31BF0"/>
    <w:rsid w:val="00FE54F6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2021-02-12T06:35:00Z</cp:lastPrinted>
  <dcterms:created xsi:type="dcterms:W3CDTF">2020-12-24T05:38:00Z</dcterms:created>
  <dcterms:modified xsi:type="dcterms:W3CDTF">2021-02-15T01:41:00Z</dcterms:modified>
</cp:coreProperties>
</file>