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7E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Default="00C166B5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18/106</w:t>
      </w:r>
    </w:p>
    <w:p w:rsidR="00291B27" w:rsidRDefault="00291B27" w:rsidP="00291B27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даче согласия на прием имущества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жилых помещений) подлежащего безвозмездной передаче в муниципальную собственность муниципального образования рабочего поселка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Магдагачи из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Положения «Об учете муниципального имущества муниципального образования рабочего поселка (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1B3FCE">
        <w:rPr>
          <w:rFonts w:ascii="Times New Roman" w:hAnsi="Times New Roman" w:cs="Times New Roman"/>
          <w:sz w:val="28"/>
          <w:szCs w:val="28"/>
        </w:rPr>
        <w:t xml:space="preserve">Магдагачи», утвержденного постановлением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 40/156,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депутатов, рассмотрев письменное отношен</w:t>
      </w:r>
      <w:r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Магдагачи </w:t>
      </w:r>
      <w:r w:rsidRPr="001B3F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07.09.2023г. № 1644, о </w:t>
      </w:r>
      <w:r w:rsidRPr="001B3FCE">
        <w:rPr>
          <w:rFonts w:ascii="Times New Roman" w:hAnsi="Times New Roman" w:cs="Times New Roman"/>
          <w:sz w:val="28"/>
          <w:szCs w:val="28"/>
        </w:rPr>
        <w:t xml:space="preserve">рассмотрении вопроса об утверждении перечня имущества подлежащего безвозмездной передачи из муниципальной собственности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</w:t>
      </w:r>
      <w:proofErr w:type="gramEnd"/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1. Дать согласие на приём имущества и об утверждении перечня имущества (жилых помещений) подлежащих  безвозмездной передачи из муниципальной собственности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согласно приложению (прилагается).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065A08">
        <w:rPr>
          <w:rFonts w:ascii="Times New Roman" w:hAnsi="Times New Roman" w:cs="Times New Roman"/>
          <w:sz w:val="28"/>
          <w:szCs w:val="28"/>
        </w:rPr>
        <w:t xml:space="preserve">2 Указанный нормативно правовой акт направить главе рабочего посёлка (посёлок городского типа  Магдагачи для его подписания и опубликования. 3.Настоящее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65A08"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опубликованию.</w:t>
      </w:r>
      <w:proofErr w:type="gramEnd"/>
    </w:p>
    <w:p w:rsidR="00291B27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Приложе</w:t>
      </w:r>
      <w:r w:rsidR="007E74BA">
        <w:rPr>
          <w:rFonts w:ascii="Times New Roman" w:hAnsi="Times New Roman" w:cs="Times New Roman"/>
          <w:u w:val="single"/>
        </w:rPr>
        <w:t>ние к постановлению 18/106</w:t>
      </w:r>
      <w:r w:rsidR="00C166B5">
        <w:rPr>
          <w:rFonts w:ascii="Times New Roman" w:hAnsi="Times New Roman" w:cs="Times New Roman"/>
          <w:u w:val="single"/>
        </w:rPr>
        <w:t xml:space="preserve"> от 21</w:t>
      </w:r>
      <w:r>
        <w:rPr>
          <w:rFonts w:ascii="Times New Roman" w:hAnsi="Times New Roman" w:cs="Times New Roman"/>
          <w:u w:val="single"/>
        </w:rPr>
        <w:t>.</w:t>
      </w:r>
      <w:r w:rsidR="00C166B5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>. 2023 г.</w:t>
      </w:r>
    </w:p>
    <w:p w:rsidR="00291B27" w:rsidRDefault="00291B27" w:rsidP="00291B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291B27" w:rsidRPr="00CC67C2" w:rsidRDefault="00291B27" w:rsidP="00291B27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    </w:t>
      </w:r>
      <w:r w:rsidR="00C166B5">
        <w:rPr>
          <w:rFonts w:ascii="Times New Roman" w:hAnsi="Times New Roman" w:cs="Times New Roman"/>
        </w:rPr>
        <w:t>21.12</w:t>
      </w:r>
      <w:r w:rsidR="00892829">
        <w:rPr>
          <w:rFonts w:ascii="Times New Roman" w:hAnsi="Times New Roman" w:cs="Times New Roman"/>
        </w:rPr>
        <w:t>.2023 г.</w:t>
      </w:r>
      <w:r>
        <w:rPr>
          <w:rFonts w:ascii="Times New Roman" w:hAnsi="Times New Roman" w:cs="Times New Roman"/>
        </w:rPr>
        <w:t xml:space="preserve">                  </w:t>
      </w:r>
    </w:p>
    <w:p w:rsidR="00892829" w:rsidRPr="00A97B05" w:rsidRDefault="00892829" w:rsidP="00892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92829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 xml:space="preserve">имущества, безвозмездно передаваемого из муниципальной собственности </w:t>
      </w:r>
      <w:proofErr w:type="spellStart"/>
      <w:r w:rsidRPr="00A97B05">
        <w:rPr>
          <w:rFonts w:ascii="Times New Roman" w:hAnsi="Times New Roman" w:cs="Times New Roman"/>
          <w:b/>
          <w:sz w:val="24"/>
          <w:szCs w:val="24"/>
        </w:rPr>
        <w:t>Магдагачинского</w:t>
      </w:r>
      <w:proofErr w:type="spellEnd"/>
      <w:r w:rsidRPr="00A97B05">
        <w:rPr>
          <w:rFonts w:ascii="Times New Roman" w:hAnsi="Times New Roman" w:cs="Times New Roman"/>
          <w:b/>
          <w:sz w:val="24"/>
          <w:szCs w:val="24"/>
        </w:rPr>
        <w:t xml:space="preserve"> района, в муниципальную собственность рабочего поселка</w:t>
      </w:r>
    </w:p>
    <w:p w:rsidR="00892829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97B0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A97B05">
        <w:rPr>
          <w:rFonts w:ascii="Times New Roman" w:hAnsi="Times New Roman" w:cs="Times New Roman"/>
          <w:b/>
          <w:sz w:val="24"/>
          <w:szCs w:val="24"/>
        </w:rPr>
        <w:t>) Магдагачи</w:t>
      </w:r>
    </w:p>
    <w:p w:rsidR="00892829" w:rsidRPr="00BC1B32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22"/>
        <w:gridCol w:w="2477"/>
        <w:gridCol w:w="3063"/>
        <w:gridCol w:w="1559"/>
        <w:gridCol w:w="1843"/>
      </w:tblGrid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06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184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П13001</w:t>
            </w:r>
            <w:r w:rsidR="00C166B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63" w:type="dxa"/>
          </w:tcPr>
          <w:p w:rsidR="00892829" w:rsidRPr="00BC1B32" w:rsidRDefault="00892829" w:rsidP="00C166B5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 xml:space="preserve">Жилое помещение (квартира), </w:t>
            </w:r>
            <w:r w:rsidR="00C166B5">
              <w:rPr>
                <w:rFonts w:ascii="Times New Roman" w:hAnsi="Times New Roman"/>
                <w:sz w:val="24"/>
                <w:szCs w:val="24"/>
              </w:rPr>
              <w:t>г. Благовещенск</w:t>
            </w:r>
            <w:r w:rsidR="003E2120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3E212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3E2120">
              <w:rPr>
                <w:rFonts w:ascii="Times New Roman" w:hAnsi="Times New Roman"/>
                <w:sz w:val="24"/>
                <w:szCs w:val="24"/>
              </w:rPr>
              <w:t xml:space="preserve">нститутская,д.13/1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E2120">
              <w:rPr>
                <w:rFonts w:ascii="Times New Roman" w:hAnsi="Times New Roman"/>
                <w:sz w:val="24"/>
                <w:szCs w:val="24"/>
              </w:rPr>
              <w:t>адастровый номер 28:01:020405:441, общей площадью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2829" w:rsidRPr="00410229" w:rsidRDefault="003E2120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6 582 229,00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П13001</w:t>
            </w:r>
            <w:r w:rsidR="003E21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63" w:type="dxa"/>
          </w:tcPr>
          <w:p w:rsidR="00892829" w:rsidRPr="00BC1B32" w:rsidRDefault="00892829" w:rsidP="003E21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B32">
              <w:rPr>
                <w:rFonts w:ascii="Times New Roman" w:hAnsi="Times New Roman"/>
                <w:sz w:val="24"/>
                <w:szCs w:val="24"/>
              </w:rPr>
              <w:t xml:space="preserve">Жилое помещение (квартира), </w:t>
            </w:r>
            <w:r>
              <w:rPr>
                <w:rFonts w:ascii="Times New Roman" w:hAnsi="Times New Roman"/>
                <w:sz w:val="24"/>
                <w:szCs w:val="24"/>
              </w:rPr>
              <w:t>г. Благовещенск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3E2120">
              <w:rPr>
                <w:rFonts w:ascii="Times New Roman" w:hAnsi="Times New Roman"/>
                <w:sz w:val="24"/>
                <w:szCs w:val="24"/>
              </w:rPr>
              <w:t xml:space="preserve">с. Чигири, ул. Лесная, д.80/1, </w:t>
            </w:r>
            <w:proofErr w:type="spellStart"/>
            <w:r w:rsidR="003E21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3E2120">
              <w:rPr>
                <w:rFonts w:ascii="Times New Roman" w:hAnsi="Times New Roman"/>
                <w:sz w:val="24"/>
                <w:szCs w:val="24"/>
              </w:rPr>
              <w:t>,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 кадастровый номер 28:</w:t>
            </w:r>
            <w:r w:rsidR="003E2120">
              <w:rPr>
                <w:rFonts w:ascii="Times New Roman" w:hAnsi="Times New Roman"/>
                <w:sz w:val="24"/>
                <w:szCs w:val="24"/>
              </w:rPr>
              <w:t>10:013013:3563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 общая площадь </w:t>
            </w:r>
            <w:r w:rsidR="003E2120">
              <w:rPr>
                <w:rFonts w:ascii="Times New Roman" w:hAnsi="Times New Roman"/>
                <w:sz w:val="24"/>
                <w:szCs w:val="24"/>
              </w:rPr>
              <w:t>30,2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  <w:proofErr w:type="gramEnd"/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2829" w:rsidRPr="00410229" w:rsidRDefault="003E2120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3 597 160,00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92829" w:rsidRPr="00410229" w:rsidRDefault="003E2120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10 179 389,00</w:t>
            </w:r>
          </w:p>
        </w:tc>
      </w:tr>
    </w:tbl>
    <w:p w:rsidR="00291B27" w:rsidRPr="0045585D" w:rsidRDefault="00291B27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91B27" w:rsidRPr="0045585D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A08"/>
    <w:rsid w:val="000873E3"/>
    <w:rsid w:val="001421CD"/>
    <w:rsid w:val="00192742"/>
    <w:rsid w:val="001B3FCE"/>
    <w:rsid w:val="002718CA"/>
    <w:rsid w:val="00291B27"/>
    <w:rsid w:val="002B4B40"/>
    <w:rsid w:val="002C18E9"/>
    <w:rsid w:val="002F68CF"/>
    <w:rsid w:val="003E2120"/>
    <w:rsid w:val="0042524A"/>
    <w:rsid w:val="004564C8"/>
    <w:rsid w:val="004611DE"/>
    <w:rsid w:val="0047056E"/>
    <w:rsid w:val="004E6628"/>
    <w:rsid w:val="0050192C"/>
    <w:rsid w:val="00502C33"/>
    <w:rsid w:val="00554A52"/>
    <w:rsid w:val="00563E48"/>
    <w:rsid w:val="00574C8B"/>
    <w:rsid w:val="005A7A57"/>
    <w:rsid w:val="005B4DCD"/>
    <w:rsid w:val="005E59E5"/>
    <w:rsid w:val="006809BD"/>
    <w:rsid w:val="0074250D"/>
    <w:rsid w:val="00743E25"/>
    <w:rsid w:val="007457B5"/>
    <w:rsid w:val="0078576C"/>
    <w:rsid w:val="007D2671"/>
    <w:rsid w:val="007E74BA"/>
    <w:rsid w:val="00863BD9"/>
    <w:rsid w:val="00885810"/>
    <w:rsid w:val="00892829"/>
    <w:rsid w:val="008E023C"/>
    <w:rsid w:val="008E146F"/>
    <w:rsid w:val="00903999"/>
    <w:rsid w:val="00921B98"/>
    <w:rsid w:val="009D1F4D"/>
    <w:rsid w:val="009E235D"/>
    <w:rsid w:val="009F5788"/>
    <w:rsid w:val="00A25B0E"/>
    <w:rsid w:val="00A523A9"/>
    <w:rsid w:val="00AE55DB"/>
    <w:rsid w:val="00AF30DB"/>
    <w:rsid w:val="00B11960"/>
    <w:rsid w:val="00B84AAB"/>
    <w:rsid w:val="00C166B5"/>
    <w:rsid w:val="00CA2D53"/>
    <w:rsid w:val="00CA3248"/>
    <w:rsid w:val="00CB21CE"/>
    <w:rsid w:val="00D07E05"/>
    <w:rsid w:val="00D16B98"/>
    <w:rsid w:val="00D25A3F"/>
    <w:rsid w:val="00D55AC2"/>
    <w:rsid w:val="00D57567"/>
    <w:rsid w:val="00D92258"/>
    <w:rsid w:val="00E832C9"/>
    <w:rsid w:val="00EA4358"/>
    <w:rsid w:val="00F15AA4"/>
    <w:rsid w:val="00FA2319"/>
    <w:rsid w:val="00FE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2023-02-01T01:30:00Z</cp:lastPrinted>
  <dcterms:created xsi:type="dcterms:W3CDTF">2022-10-24T02:22:00Z</dcterms:created>
  <dcterms:modified xsi:type="dcterms:W3CDTF">2023-12-21T23:03:00Z</dcterms:modified>
</cp:coreProperties>
</file>